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附件3</w:t>
      </w:r>
    </w:p>
    <w:p>
      <w:pPr>
        <w:pStyle w:val="2"/>
        <w:kinsoku w:val="0"/>
        <w:overflowPunct w:val="0"/>
        <w:spacing w:before="0"/>
        <w:ind w:left="0"/>
        <w:jc w:val="both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Style w:val="2"/>
        <w:spacing w:before="0" w:line="580" w:lineRule="exact"/>
        <w:ind w:left="0"/>
        <w:jc w:val="center"/>
        <w:rPr>
          <w:rFonts w:ascii="方正小标宋_GBK" w:eastAsia="方正小标宋_GBK"/>
          <w:b w:val="0"/>
          <w:bCs/>
          <w:color w:val="000000"/>
          <w:spacing w:val="15"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color w:val="000000"/>
          <w:spacing w:val="15"/>
          <w:sz w:val="44"/>
          <w:szCs w:val="44"/>
        </w:rPr>
        <w:t>企</w:t>
      </w:r>
      <w:bookmarkStart w:id="0" w:name="_GoBack"/>
      <w:r>
        <w:rPr>
          <w:rFonts w:hint="eastAsia" w:ascii="方正小标宋_GBK" w:eastAsia="方正小标宋_GBK"/>
          <w:b w:val="0"/>
          <w:bCs/>
          <w:color w:val="000000"/>
          <w:spacing w:val="15"/>
          <w:sz w:val="44"/>
          <w:szCs w:val="44"/>
        </w:rPr>
        <w:t>业新型学徒培训协议</w:t>
      </w:r>
      <w:r>
        <w:rPr>
          <w:rFonts w:hint="eastAsia" w:ascii="方正小标宋_GBK" w:eastAsia="方正小标宋_GBK"/>
          <w:b w:val="0"/>
          <w:bCs/>
          <w:color w:val="000000"/>
          <w:spacing w:val="15"/>
          <w:sz w:val="44"/>
          <w:szCs w:val="44"/>
          <w:lang w:val="en-US" w:eastAsia="zh-CN"/>
        </w:rPr>
        <w:t>参考</w:t>
      </w:r>
      <w:r>
        <w:rPr>
          <w:rFonts w:hint="eastAsia" w:ascii="方正小标宋_GBK" w:eastAsia="方正小标宋_GBK"/>
          <w:b w:val="0"/>
          <w:bCs/>
          <w:color w:val="000000"/>
          <w:spacing w:val="15"/>
          <w:sz w:val="44"/>
          <w:szCs w:val="44"/>
        </w:rPr>
        <w:t>模板</w:t>
      </w:r>
      <w:bookmarkEnd w:id="0"/>
    </w:p>
    <w:p>
      <w:pPr>
        <w:pStyle w:val="2"/>
        <w:spacing w:before="0" w:line="580" w:lineRule="exact"/>
        <w:ind w:left="0"/>
        <w:jc w:val="center"/>
        <w:rPr>
          <w:rFonts w:ascii="方正楷体_GBK" w:hAnsi="hakuyoxingshu7000" w:eastAsia="方正楷体_GBK"/>
          <w:b w:val="0"/>
          <w:bCs/>
          <w:color w:val="000000"/>
          <w:sz w:val="32"/>
          <w:szCs w:val="32"/>
        </w:rPr>
      </w:pPr>
      <w:r>
        <w:rPr>
          <w:rFonts w:hint="eastAsia" w:ascii="方正楷体_GBK" w:hAnsi="hakuyoxingshu7000" w:eastAsia="方正楷体_GBK"/>
          <w:b w:val="0"/>
          <w:bCs/>
          <w:color w:val="000000"/>
          <w:sz w:val="32"/>
          <w:szCs w:val="32"/>
        </w:rPr>
        <w:t>（企业与学徒签订时使用，各企业可根据企业生产和学徒工作生活实际约定其他事项）</w:t>
      </w:r>
    </w:p>
    <w:p>
      <w:pPr>
        <w:pStyle w:val="2"/>
        <w:spacing w:before="0" w:line="580" w:lineRule="exact"/>
        <w:ind w:left="0"/>
        <w:jc w:val="left"/>
        <w:rPr>
          <w:rFonts w:ascii="方正仿宋_GBK" w:eastAsia="方正仿宋_GBK"/>
          <w:b w:val="0"/>
          <w:bCs/>
          <w:color w:val="000000"/>
          <w:w w:val="105"/>
          <w:sz w:val="32"/>
          <w:szCs w:val="32"/>
        </w:rPr>
      </w:pPr>
    </w:p>
    <w:p>
      <w:pPr>
        <w:pStyle w:val="2"/>
        <w:spacing w:before="0" w:line="580" w:lineRule="exact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pacing w:val="6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w w:val="105"/>
          <w:sz w:val="32"/>
          <w:szCs w:val="32"/>
        </w:rPr>
        <w:t>甲方</w:t>
      </w:r>
      <w:r>
        <w:rPr>
          <w:rFonts w:hint="eastAsia" w:ascii="方正仿宋_GBK" w:hAnsi="hakuyoxingshu7000" w:eastAsia="方正仿宋_GBK"/>
          <w:b w:val="0"/>
          <w:bCs/>
          <w:color w:val="000000"/>
          <w:w w:val="105"/>
          <w:sz w:val="32"/>
          <w:szCs w:val="32"/>
        </w:rPr>
        <w:t>（</w:t>
      </w:r>
      <w:r>
        <w:rPr>
          <w:rFonts w:hint="eastAsia" w:ascii="方正仿宋_GBK" w:eastAsia="方正仿宋_GBK"/>
          <w:b w:val="0"/>
          <w:bCs/>
          <w:color w:val="000000"/>
          <w:spacing w:val="6"/>
          <w:w w:val="105"/>
          <w:sz w:val="32"/>
          <w:szCs w:val="32"/>
        </w:rPr>
        <w:t>企业</w:t>
      </w:r>
      <w:r>
        <w:rPr>
          <w:rFonts w:hint="eastAsia" w:ascii="方正仿宋_GBK" w:hAnsi="hakuyoxingshu7000" w:eastAsia="方正仿宋_GBK"/>
          <w:b w:val="0"/>
          <w:bCs/>
          <w:color w:val="000000"/>
          <w:spacing w:val="6"/>
          <w:w w:val="105"/>
          <w:sz w:val="32"/>
          <w:szCs w:val="32"/>
        </w:rPr>
        <w:t>）</w:t>
      </w:r>
      <w:r>
        <w:rPr>
          <w:rFonts w:hint="eastAsia" w:ascii="方正仿宋_GBK" w:hAnsi="hakuyoxingshu7000" w:eastAsia="方正仿宋_GBK"/>
          <w:b w:val="0"/>
          <w:bCs/>
          <w:color w:val="000000"/>
          <w:spacing w:val="6"/>
          <w:w w:val="105"/>
          <w:sz w:val="32"/>
          <w:szCs w:val="32"/>
          <w:lang w:eastAsia="zh-CN"/>
        </w:rPr>
        <w:t>：</w:t>
      </w:r>
    </w:p>
    <w:p>
      <w:pPr>
        <w:pStyle w:val="2"/>
        <w:spacing w:before="0" w:line="580" w:lineRule="exact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w w:val="105"/>
          <w:sz w:val="32"/>
          <w:szCs w:val="32"/>
        </w:rPr>
        <w:t>乙方</w:t>
      </w:r>
      <w:r>
        <w:rPr>
          <w:rFonts w:hint="eastAsia" w:ascii="方正仿宋_GBK" w:hAnsi="hakuyoxingshu7000" w:eastAsia="方正仿宋_GBK"/>
          <w:b w:val="0"/>
          <w:bCs/>
          <w:color w:val="000000"/>
          <w:w w:val="105"/>
          <w:sz w:val="32"/>
          <w:szCs w:val="32"/>
        </w:rPr>
        <w:t>（</w:t>
      </w:r>
      <w:r>
        <w:rPr>
          <w:rFonts w:hint="eastAsia" w:ascii="方正仿宋_GBK" w:eastAsia="方正仿宋_GBK"/>
          <w:b w:val="0"/>
          <w:bCs/>
          <w:color w:val="000000"/>
          <w:spacing w:val="6"/>
          <w:w w:val="105"/>
          <w:sz w:val="32"/>
          <w:szCs w:val="32"/>
        </w:rPr>
        <w:t>学徒</w:t>
      </w:r>
      <w:r>
        <w:rPr>
          <w:rFonts w:hint="eastAsia" w:ascii="方正仿宋_GBK" w:hAnsi="hakuyoxingshu7000" w:eastAsia="方正仿宋_GBK"/>
          <w:b w:val="0"/>
          <w:bCs/>
          <w:color w:val="000000"/>
          <w:spacing w:val="6"/>
          <w:w w:val="105"/>
          <w:sz w:val="32"/>
          <w:szCs w:val="32"/>
        </w:rPr>
        <w:t>）</w:t>
      </w:r>
      <w:r>
        <w:rPr>
          <w:rFonts w:hint="eastAsia" w:ascii="方正仿宋_GBK" w:hAnsi="hakuyoxingshu7000" w:eastAsia="方正仿宋_GBK"/>
          <w:b w:val="0"/>
          <w:bCs/>
          <w:color w:val="000000"/>
          <w:spacing w:val="6"/>
          <w:w w:val="105"/>
          <w:sz w:val="32"/>
          <w:szCs w:val="32"/>
          <w:lang w:eastAsia="zh-CN"/>
        </w:rPr>
        <w:t>：</w:t>
      </w:r>
      <w:r>
        <w:rPr>
          <w:rFonts w:hint="eastAsia" w:ascii="方正仿宋_GBK" w:hAnsi="hakuyoxingshu7000" w:eastAsia="方正仿宋_GBK"/>
          <w:b w:val="0"/>
          <w:bCs/>
          <w:color w:val="000000"/>
          <w:spacing w:val="6"/>
          <w:w w:val="105"/>
          <w:sz w:val="32"/>
          <w:szCs w:val="32"/>
        </w:rPr>
        <w:t xml:space="preserve">        </w:t>
      </w:r>
      <w:r>
        <w:rPr>
          <w:rFonts w:hint="eastAsia" w:ascii="方正仿宋_GBK" w:eastAsia="方正仿宋_GBK"/>
          <w:b w:val="0"/>
          <w:bCs/>
          <w:color w:val="000000"/>
          <w:w w:val="105"/>
          <w:sz w:val="32"/>
          <w:szCs w:val="32"/>
        </w:rPr>
        <w:t>身份证号</w:t>
      </w:r>
      <w:r>
        <w:rPr>
          <w:rFonts w:hint="eastAsia" w:ascii="方正仿宋_GBK" w:hAnsi="hakuyoxingshu7000" w:eastAsia="方正仿宋_GBK"/>
          <w:b w:val="0"/>
          <w:bCs/>
          <w:color w:val="000000"/>
          <w:w w:val="105"/>
          <w:sz w:val="32"/>
          <w:szCs w:val="32"/>
          <w:lang w:eastAsia="zh-CN"/>
        </w:rPr>
        <w:t>：</w:t>
      </w:r>
    </w:p>
    <w:p>
      <w:pPr>
        <w:pStyle w:val="2"/>
        <w:spacing w:before="0" w:line="580" w:lineRule="exact"/>
        <w:ind w:left="0"/>
        <w:jc w:val="left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（同一批次集体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  <w:t>培训的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val="en-US" w:eastAsia="zh-CN"/>
        </w:rPr>
        <w:t>学徒可集中签署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）</w:t>
      </w:r>
    </w:p>
    <w:p>
      <w:pPr>
        <w:pStyle w:val="2"/>
        <w:spacing w:before="0" w:line="580" w:lineRule="exact"/>
        <w:ind w:left="0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根据</w:t>
      </w: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我市</w:t>
      </w: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企业新型学徒制</w:t>
      </w: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培训工作的有关通知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甲乙双方经协商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签订本协议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一</w:t>
      </w:r>
      <w:r>
        <w:rPr>
          <w:rFonts w:hint="eastAsia" w:ascii="方正黑体_GBK" w:hAnsi="宋体" w:eastAsia="方正黑体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培训目标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培训学徒成为甲方需求的技能人才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取得国家职业资格证书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（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或职业技能等级证书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专项职业能力证书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培训合格证书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），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加快甲方技能人才的培养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实现企业的可持续发展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二、培训工种和培训期限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培训工种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: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               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培训期限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: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自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年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月至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年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月（暂定，按照主管部门备案时限为准）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共计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年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三、培训内容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乙方所在岗位相关专业知识、操作技能、职业素养、工匠精神、法律常识、安全生产规范等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（各企业可根据企业实际增加培训内容，可另附培训计划）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四、培训方式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采取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“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企校合作、工学交替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”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的培养模式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由甲方和合作培训机构共同承担培训任务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甲方培养主要通过导师带徒方式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合作培训机构培养主要采取工学一体化培训方式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培训过程采用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“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互联网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＋”、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职业培训包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   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等培训模式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各企业可根据企业实际确定具体培训方式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  <w:lang w:eastAsia="zh-CN"/>
        </w:rPr>
        <w:t>）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五、培训质量考核标准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乙方培训期满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参加职业技能鉴定、职业技能等级认定、专项职业能力考核或结业考核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合格者取得相应的职业资格证书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或职业技能等级证书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专项职业能力证书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培训合格证书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培训过程中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甲方针对培训内容，结合生产实践要求，适时对乙方进行课程学习及岗位实践评价，并按照主管部门对培训过程的监管要求，落实培训质量管理措施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sz w:val="32"/>
          <w:szCs w:val="32"/>
        </w:rPr>
        <w:t>（各企业可根据企业实际附具体标准）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六、甲方责任与义务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1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甲方负责与合作培训机构共同确定学徒培训方案和计划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并向乙方明确培训目标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内容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期限和质量考核标准等内容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ascii="Times New Roman" w:hAnsi="Times New Roman" w:eastAsia="方正仿宋_GBK"/>
          <w:b w:val="0"/>
          <w:bCs/>
          <w:color w:val="000000"/>
          <w:sz w:val="32"/>
          <w:szCs w:val="32"/>
        </w:rPr>
        <w:t>2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甲方负责选拔优秀高技能人才担任乙方的企业导师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安排培养任务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帮助乙方逐步掌握并不断提升技能水平和职业素养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使之能够达到职业技能标准和岗位要求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具备从事相关技能岗位工作的能力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3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甲方依据企业相关管理制度规定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对乙方在企业培训期间的安全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学习等实施管理及考核评价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4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甲方负责支付乙方的培训费用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5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在协议执行期间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甲方应按照劳动合同约定向乙方支付工资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七、乙方责任与义务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1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乙方在培训期间认真接受甲方和合作培训机构的培训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并严格遵守相关规定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beforeLines="0" w:afterLines="0" w:line="580" w:lineRule="exact"/>
        <w:ind w:left="0" w:firstLine="640" w:firstLineChars="200"/>
        <w:jc w:val="both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2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乙方在培训期间有义务接受企业和培训机构的管理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考核与评价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培训期限内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乙方应严格要求自己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虚心学习各项知识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技能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不断提高自身技能水平和职业素养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完成培训学习任务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达到培训相关要求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beforeLines="0" w:afterLines="0" w:line="580" w:lineRule="exact"/>
        <w:ind w:left="0" w:firstLine="640" w:firstLineChars="200"/>
        <w:jc w:val="both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3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乙方在培训期间要严格遵守设备安全操作规程和技术工艺流程等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因违反设备安全操作规程导致的事故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乙方应承担相应责任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4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培训期限内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如因乙方违反相关规定被中止培训或未达到培训要求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乙方应承担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   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费用（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  <w:lang w:val="en-US" w:eastAsia="zh-CN"/>
        </w:rPr>
        <w:t>不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超过企业实际支出的培训费用）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黑体_GBK" w:eastAsia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  <w:t>八、附则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1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甲乙双方在履行本协议过程中若发生纠纷和争议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由双方协商解决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协商不能达成一致意见的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任何一方有权向当地劳动争议调解部门申请调解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2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本协议的变更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续签及其他未尽事宜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由双方另行商定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3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本协议自双方签字盖章后生效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有效期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年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 w:firstLine="640" w:firstLineChars="20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b w:val="0"/>
          <w:bCs/>
          <w:color w:val="000000"/>
          <w:sz w:val="32"/>
          <w:szCs w:val="32"/>
        </w:rPr>
        <w:t>4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.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本协议一式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份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，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甲方执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份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、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乙方执</w:t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ab/>
      </w:r>
      <w:r>
        <w:rPr>
          <w:rFonts w:hint="eastAsia" w:ascii="方正仿宋_GBK" w:hAnsi="Times New Roman" w:eastAsia="方正仿宋_GBK"/>
          <w:b w:val="0"/>
          <w:bCs/>
          <w:color w:val="000000"/>
          <w:sz w:val="32"/>
          <w:szCs w:val="32"/>
          <w:u w:val="single" w:color="231F20"/>
        </w:rPr>
        <w:t xml:space="preserve">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份为凭</w:t>
      </w:r>
      <w:r>
        <w:rPr>
          <w:rFonts w:hint="eastAsia" w:ascii="方正仿宋_GBK" w:hAnsi="Microsoft Yi Baiti" w:eastAsia="方正仿宋_GBK" w:cs="Microsoft Yi Baiti"/>
          <w:b w:val="0"/>
          <w:bCs/>
          <w:color w:val="000000"/>
          <w:sz w:val="32"/>
          <w:szCs w:val="32"/>
        </w:rPr>
        <w:t>。</w:t>
      </w:r>
    </w:p>
    <w:p>
      <w:pPr>
        <w:pStyle w:val="2"/>
        <w:spacing w:before="0" w:line="580" w:lineRule="exact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</w:p>
    <w:p>
      <w:pPr>
        <w:pStyle w:val="2"/>
        <w:spacing w:before="0" w:line="580" w:lineRule="exact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</w:p>
    <w:p>
      <w:pPr>
        <w:pStyle w:val="2"/>
        <w:spacing w:before="0" w:line="580" w:lineRule="exact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甲方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（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盖章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）: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ab/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 xml:space="preserve">                     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乙方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（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签字</w:t>
      </w:r>
      <w:r>
        <w:rPr>
          <w:rFonts w:hint="eastAsia" w:ascii="方正仿宋_GBK" w:hAnsi="hakuyoxingshu7000" w:eastAsia="方正仿宋_GBK"/>
          <w:b w:val="0"/>
          <w:bCs/>
          <w:color w:val="000000"/>
          <w:sz w:val="32"/>
          <w:szCs w:val="32"/>
        </w:rPr>
        <w:t>）:</w:t>
      </w:r>
    </w:p>
    <w:p>
      <w:pPr>
        <w:pStyle w:val="2"/>
        <w:spacing w:before="0" w:line="580" w:lineRule="exact"/>
        <w:ind w:left="0"/>
        <w:jc w:val="left"/>
        <w:rPr>
          <w:rFonts w:ascii="方正仿宋_GBK" w:hAnsi="hakuyoxingshu7000" w:eastAsia="方正仿宋_GBK"/>
          <w:b w:val="0"/>
          <w:bCs/>
          <w:color w:val="000000"/>
          <w:spacing w:val="-20"/>
          <w:w w:val="95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pacing w:val="-20"/>
          <w:w w:val="95"/>
          <w:sz w:val="32"/>
          <w:szCs w:val="32"/>
        </w:rPr>
        <w:t>法定代表人（或授权代表）签字</w:t>
      </w:r>
      <w:r>
        <w:rPr>
          <w:rFonts w:hint="eastAsia" w:ascii="方正仿宋_GBK" w:hAnsi="hakuyoxingshu7000" w:eastAsia="方正仿宋_GBK"/>
          <w:b w:val="0"/>
          <w:bCs/>
          <w:color w:val="000000"/>
          <w:spacing w:val="-20"/>
          <w:w w:val="95"/>
          <w:sz w:val="32"/>
          <w:szCs w:val="32"/>
        </w:rPr>
        <w:t xml:space="preserve">:         </w:t>
      </w:r>
    </w:p>
    <w:p>
      <w:pPr>
        <w:pStyle w:val="2"/>
        <w:spacing w:before="0" w:line="580" w:lineRule="exact"/>
        <w:ind w:left="0" w:firstLine="1280" w:firstLineChars="400"/>
        <w:jc w:val="left"/>
        <w:rPr>
          <w:rFonts w:ascii="方正仿宋_GBK" w:eastAsia="方正仿宋_GBK"/>
          <w:b w:val="0"/>
          <w:bCs/>
          <w:color w:val="000000"/>
          <w:sz w:val="32"/>
          <w:szCs w:val="32"/>
        </w:rPr>
      </w:pP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>年   月  日</w:t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b w:val="0"/>
          <w:bCs/>
          <w:color w:val="000000"/>
          <w:sz w:val="32"/>
          <w:szCs w:val="32"/>
        </w:rPr>
        <w:t xml:space="preserve">                   年  月  日 </w:t>
      </w:r>
    </w:p>
    <w:p>
      <w:r>
        <w:rPr>
          <w:rFonts w:ascii="方正仿宋_GBK" w:hAnsi="Arial Unicode MS" w:eastAsia="方正仿宋_GBK" w:cs="Times New Roman"/>
          <w:kern w:val="0"/>
          <w:sz w:val="32"/>
          <w:szCs w:val="32"/>
        </w:rPr>
        <w:br w:type="page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ZThjYzgzMmVhOTFlZTJiNjQwYjQ5ZTEwZTc3YWQifQ=="/>
  </w:docVars>
  <w:rsids>
    <w:rsidRoot w:val="48450E5F"/>
    <w:rsid w:val="43123DBE"/>
    <w:rsid w:val="48450E5F"/>
    <w:rsid w:val="769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b/>
      <w:color w:val="FF0000"/>
      <w:sz w:val="4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unhideWhenUsed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398</Characters>
  <Lines>0</Lines>
  <Paragraphs>0</Paragraphs>
  <TotalTime>1</TotalTime>
  <ScaleCrop>false</ScaleCrop>
  <LinksUpToDate>false</LinksUpToDate>
  <CharactersWithSpaces>482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2022-07-08T08:56:00Z</dcterms:created>
  <dc:creator>Administrator</dc:creator>
  <cp:lastModifiedBy>Administrator</cp:lastModifiedBy>
  <dcterms:modified xsi:type="dcterms:W3CDTF">2022-07-08T08:58:16Z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0DA94CB3BCB2492CA239F45972FC155E</vt:lpwstr>
  </property>
</Properties>
</file>